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6A6F95" w:rsidRPr="00936C59" w:rsidTr="0042001B">
        <w:tc>
          <w:tcPr>
            <w:tcW w:w="5495" w:type="dxa"/>
          </w:tcPr>
          <w:p w:rsidR="006A6F95" w:rsidRPr="00936C59" w:rsidRDefault="006A6F95" w:rsidP="0042001B">
            <w:pPr>
              <w:widowControl w:val="0"/>
              <w:ind w:right="397"/>
              <w:jc w:val="both"/>
              <w:rPr>
                <w:b/>
                <w:bCs/>
              </w:rPr>
            </w:pPr>
            <w:r>
              <w:rPr>
                <w:b/>
              </w:rPr>
              <w:t>WES</w:t>
            </w:r>
            <w:r w:rsidRPr="00936C59">
              <w:rPr>
                <w:b/>
              </w:rPr>
              <w:t>T AREA PLANNING COMMITTEE</w:t>
            </w:r>
          </w:p>
        </w:tc>
        <w:tc>
          <w:tcPr>
            <w:tcW w:w="3793" w:type="dxa"/>
          </w:tcPr>
          <w:p w:rsidR="006A6F95" w:rsidRPr="00936C59" w:rsidRDefault="00417F31" w:rsidP="0042001B">
            <w:pPr>
              <w:widowControl w:val="0"/>
              <w:ind w:right="397"/>
              <w:jc w:val="right"/>
            </w:pPr>
            <w:r>
              <w:t>10 July</w:t>
            </w:r>
            <w:r w:rsidR="006A6F95" w:rsidRPr="00936C59">
              <w:t xml:space="preserve"> 2018</w:t>
            </w:r>
          </w:p>
        </w:tc>
      </w:tr>
    </w:tbl>
    <w:p w:rsidR="006A6F95" w:rsidRPr="00936C59" w:rsidRDefault="006A6F95" w:rsidP="006A6F95">
      <w:pPr>
        <w:jc w:val="both"/>
      </w:pPr>
    </w:p>
    <w:tbl>
      <w:tblPr>
        <w:tblW w:w="0" w:type="auto"/>
        <w:tblLook w:val="0000" w:firstRow="0" w:lastRow="0" w:firstColumn="0" w:lastColumn="0" w:noHBand="0" w:noVBand="0"/>
      </w:tblPr>
      <w:tblGrid>
        <w:gridCol w:w="2660"/>
        <w:gridCol w:w="6627"/>
      </w:tblGrid>
      <w:tr w:rsidR="006A6F95" w:rsidRPr="00936C59" w:rsidTr="0042001B">
        <w:tc>
          <w:tcPr>
            <w:tcW w:w="2660" w:type="dxa"/>
          </w:tcPr>
          <w:p w:rsidR="006A6F95" w:rsidRPr="00936C59" w:rsidRDefault="006A6F95" w:rsidP="0042001B">
            <w:pPr>
              <w:jc w:val="both"/>
            </w:pPr>
            <w:r w:rsidRPr="00936C59">
              <w:rPr>
                <w:b/>
                <w:bCs/>
              </w:rPr>
              <w:t>Application Number:</w:t>
            </w:r>
          </w:p>
        </w:tc>
        <w:tc>
          <w:tcPr>
            <w:tcW w:w="6627" w:type="dxa"/>
          </w:tcPr>
          <w:p w:rsidR="006A6F95" w:rsidRPr="00936C59" w:rsidRDefault="006A6F95" w:rsidP="0042001B">
            <w:pPr>
              <w:jc w:val="both"/>
            </w:pPr>
            <w:r w:rsidRPr="00936C59">
              <w:t>Nominations for Oxford Heritage Asset Register</w:t>
            </w:r>
          </w:p>
        </w:tc>
      </w:tr>
      <w:tr w:rsidR="006A6F95" w:rsidRPr="00936C59" w:rsidTr="0042001B">
        <w:tc>
          <w:tcPr>
            <w:tcW w:w="2660" w:type="dxa"/>
          </w:tcPr>
          <w:p w:rsidR="006A6F95" w:rsidRPr="00936C59" w:rsidRDefault="006A6F95" w:rsidP="0042001B">
            <w:pPr>
              <w:jc w:val="both"/>
            </w:pPr>
          </w:p>
        </w:tc>
        <w:tc>
          <w:tcPr>
            <w:tcW w:w="6627" w:type="dxa"/>
          </w:tcPr>
          <w:p w:rsidR="006A6F95" w:rsidRPr="00936C59" w:rsidRDefault="006A6F95" w:rsidP="0042001B">
            <w:pPr>
              <w:jc w:val="both"/>
            </w:pPr>
          </w:p>
        </w:tc>
      </w:tr>
      <w:tr w:rsidR="006A6F95" w:rsidRPr="00936C59" w:rsidTr="0042001B">
        <w:tc>
          <w:tcPr>
            <w:tcW w:w="2660" w:type="dxa"/>
          </w:tcPr>
          <w:p w:rsidR="006A6F95" w:rsidRPr="00936C59" w:rsidRDefault="006A6F95" w:rsidP="0042001B">
            <w:pPr>
              <w:jc w:val="both"/>
            </w:pPr>
            <w:r w:rsidRPr="00936C59">
              <w:rPr>
                <w:b/>
                <w:bCs/>
              </w:rPr>
              <w:t>Decision Due by:</w:t>
            </w:r>
          </w:p>
        </w:tc>
        <w:tc>
          <w:tcPr>
            <w:tcW w:w="6627" w:type="dxa"/>
          </w:tcPr>
          <w:p w:rsidR="006A6F95" w:rsidRPr="00936C59" w:rsidRDefault="00417F31" w:rsidP="0042001B">
            <w:pPr>
              <w:jc w:val="both"/>
            </w:pPr>
            <w:r>
              <w:t>10 July</w:t>
            </w:r>
            <w:r w:rsidR="006A6F95" w:rsidRPr="00936C59">
              <w:t xml:space="preserve"> 2018</w:t>
            </w:r>
          </w:p>
        </w:tc>
      </w:tr>
      <w:tr w:rsidR="006A6F95" w:rsidRPr="00936C59" w:rsidTr="0042001B">
        <w:tc>
          <w:tcPr>
            <w:tcW w:w="2660" w:type="dxa"/>
          </w:tcPr>
          <w:p w:rsidR="006A6F95" w:rsidRPr="00936C59" w:rsidRDefault="006A6F95" w:rsidP="0042001B">
            <w:pPr>
              <w:jc w:val="both"/>
            </w:pPr>
          </w:p>
        </w:tc>
        <w:tc>
          <w:tcPr>
            <w:tcW w:w="6627" w:type="dxa"/>
          </w:tcPr>
          <w:p w:rsidR="006A6F95" w:rsidRPr="00936C59" w:rsidRDefault="006A6F95" w:rsidP="0042001B">
            <w:pPr>
              <w:jc w:val="both"/>
            </w:pPr>
          </w:p>
        </w:tc>
      </w:tr>
      <w:tr w:rsidR="006A6F95" w:rsidRPr="00936C59" w:rsidTr="0042001B">
        <w:tc>
          <w:tcPr>
            <w:tcW w:w="2660" w:type="dxa"/>
          </w:tcPr>
          <w:p w:rsidR="006A6F95" w:rsidRPr="00936C59" w:rsidRDefault="006A6F95" w:rsidP="0042001B">
            <w:pPr>
              <w:jc w:val="both"/>
              <w:rPr>
                <w:b/>
              </w:rPr>
            </w:pPr>
          </w:p>
        </w:tc>
        <w:tc>
          <w:tcPr>
            <w:tcW w:w="6627" w:type="dxa"/>
          </w:tcPr>
          <w:p w:rsidR="006A6F95" w:rsidRPr="00936C59" w:rsidRDefault="006A6F95" w:rsidP="0042001B">
            <w:pPr>
              <w:jc w:val="both"/>
            </w:pPr>
          </w:p>
        </w:tc>
      </w:tr>
      <w:tr w:rsidR="006A6F95" w:rsidRPr="00936C59" w:rsidTr="0042001B">
        <w:tc>
          <w:tcPr>
            <w:tcW w:w="2660" w:type="dxa"/>
          </w:tcPr>
          <w:p w:rsidR="006A6F95" w:rsidRPr="00936C59" w:rsidRDefault="006A6F95" w:rsidP="0042001B">
            <w:pPr>
              <w:jc w:val="both"/>
            </w:pPr>
          </w:p>
        </w:tc>
        <w:tc>
          <w:tcPr>
            <w:tcW w:w="6627" w:type="dxa"/>
          </w:tcPr>
          <w:p w:rsidR="006A6F95" w:rsidRPr="00936C59" w:rsidRDefault="006A6F95" w:rsidP="0042001B">
            <w:pPr>
              <w:jc w:val="both"/>
            </w:pPr>
          </w:p>
        </w:tc>
      </w:tr>
      <w:tr w:rsidR="006A6F95" w:rsidRPr="00936C59" w:rsidTr="0042001B">
        <w:tc>
          <w:tcPr>
            <w:tcW w:w="2660" w:type="dxa"/>
          </w:tcPr>
          <w:p w:rsidR="006A6F95" w:rsidRPr="00936C59" w:rsidRDefault="006A6F95" w:rsidP="0042001B">
            <w:pPr>
              <w:jc w:val="both"/>
              <w:rPr>
                <w:b/>
                <w:bCs/>
              </w:rPr>
            </w:pPr>
            <w:r w:rsidRPr="00936C59">
              <w:rPr>
                <w:b/>
                <w:bCs/>
              </w:rPr>
              <w:t>Proposal:</w:t>
            </w:r>
          </w:p>
        </w:tc>
        <w:tc>
          <w:tcPr>
            <w:tcW w:w="6627" w:type="dxa"/>
          </w:tcPr>
          <w:p w:rsidR="006A6F95" w:rsidRPr="00936C59" w:rsidRDefault="006A6F95" w:rsidP="0042001B">
            <w:pPr>
              <w:jc w:val="both"/>
            </w:pPr>
            <w:r w:rsidRPr="00936C59">
              <w:t>To consider nominations for addition to the Oxford Heritage Asset Register</w:t>
            </w:r>
          </w:p>
        </w:tc>
      </w:tr>
      <w:tr w:rsidR="006A6F95" w:rsidRPr="00936C59" w:rsidTr="0042001B">
        <w:tc>
          <w:tcPr>
            <w:tcW w:w="2660" w:type="dxa"/>
          </w:tcPr>
          <w:p w:rsidR="006A6F95" w:rsidRPr="00936C59" w:rsidRDefault="006A6F95" w:rsidP="0042001B">
            <w:pPr>
              <w:jc w:val="both"/>
              <w:rPr>
                <w:b/>
                <w:bCs/>
              </w:rPr>
            </w:pPr>
          </w:p>
        </w:tc>
        <w:tc>
          <w:tcPr>
            <w:tcW w:w="6627" w:type="dxa"/>
          </w:tcPr>
          <w:p w:rsidR="006A6F95" w:rsidRPr="00936C59" w:rsidRDefault="006A6F95" w:rsidP="0042001B">
            <w:pPr>
              <w:jc w:val="both"/>
            </w:pPr>
          </w:p>
        </w:tc>
      </w:tr>
      <w:tr w:rsidR="006A6F95" w:rsidRPr="00936C59" w:rsidTr="0042001B">
        <w:tc>
          <w:tcPr>
            <w:tcW w:w="2660" w:type="dxa"/>
          </w:tcPr>
          <w:p w:rsidR="006A6F95" w:rsidRPr="00936C59" w:rsidRDefault="006A6F95" w:rsidP="0042001B">
            <w:pPr>
              <w:jc w:val="both"/>
              <w:rPr>
                <w:b/>
                <w:bCs/>
              </w:rPr>
            </w:pPr>
            <w:r w:rsidRPr="00936C59">
              <w:rPr>
                <w:b/>
                <w:bCs/>
              </w:rPr>
              <w:t>Site Address:</w:t>
            </w:r>
          </w:p>
        </w:tc>
        <w:tc>
          <w:tcPr>
            <w:tcW w:w="6627" w:type="dxa"/>
          </w:tcPr>
          <w:p w:rsidR="006A6F95" w:rsidRPr="00936C59" w:rsidRDefault="006A6F95" w:rsidP="0042001B">
            <w:pPr>
              <w:jc w:val="both"/>
            </w:pPr>
            <w:r>
              <w:t>Nominations within the We</w:t>
            </w:r>
            <w:r w:rsidRPr="00936C59">
              <w:t>st area</w:t>
            </w:r>
          </w:p>
        </w:tc>
      </w:tr>
      <w:tr w:rsidR="006A6F95" w:rsidRPr="00936C59" w:rsidTr="0042001B">
        <w:tc>
          <w:tcPr>
            <w:tcW w:w="2660" w:type="dxa"/>
          </w:tcPr>
          <w:p w:rsidR="006A6F95" w:rsidRPr="00936C59" w:rsidRDefault="006A6F95" w:rsidP="0042001B">
            <w:pPr>
              <w:jc w:val="both"/>
            </w:pPr>
          </w:p>
        </w:tc>
        <w:tc>
          <w:tcPr>
            <w:tcW w:w="6627" w:type="dxa"/>
          </w:tcPr>
          <w:p w:rsidR="006A6F95" w:rsidRPr="00936C59" w:rsidRDefault="006A6F95" w:rsidP="0042001B">
            <w:pPr>
              <w:jc w:val="both"/>
            </w:pPr>
          </w:p>
        </w:tc>
      </w:tr>
      <w:tr w:rsidR="006A6F95" w:rsidRPr="00936C59" w:rsidTr="0042001B">
        <w:tc>
          <w:tcPr>
            <w:tcW w:w="2660" w:type="dxa"/>
          </w:tcPr>
          <w:p w:rsidR="006A6F95" w:rsidRPr="00936C59" w:rsidRDefault="006A6F95" w:rsidP="0042001B">
            <w:pPr>
              <w:jc w:val="both"/>
              <w:rPr>
                <w:b/>
                <w:bCs/>
              </w:rPr>
            </w:pPr>
          </w:p>
        </w:tc>
        <w:tc>
          <w:tcPr>
            <w:tcW w:w="6627" w:type="dxa"/>
          </w:tcPr>
          <w:p w:rsidR="006A6F95" w:rsidRPr="00936C59" w:rsidRDefault="006A6F95" w:rsidP="0042001B">
            <w:pPr>
              <w:jc w:val="both"/>
            </w:pPr>
          </w:p>
        </w:tc>
      </w:tr>
    </w:tbl>
    <w:p w:rsidR="006A6F95" w:rsidRPr="00936C59" w:rsidRDefault="006A6F95" w:rsidP="006A6F95">
      <w:pPr>
        <w:jc w:val="both"/>
      </w:pPr>
    </w:p>
    <w:tbl>
      <w:tblPr>
        <w:tblW w:w="9288" w:type="dxa"/>
        <w:tblLayout w:type="fixed"/>
        <w:tblLook w:val="0000" w:firstRow="0" w:lastRow="0" w:firstColumn="0" w:lastColumn="0" w:noHBand="0" w:noVBand="0"/>
      </w:tblPr>
      <w:tblGrid>
        <w:gridCol w:w="2660"/>
        <w:gridCol w:w="1984"/>
        <w:gridCol w:w="1418"/>
        <w:gridCol w:w="3226"/>
      </w:tblGrid>
      <w:tr w:rsidR="006A6F95" w:rsidRPr="00936C59" w:rsidTr="0042001B">
        <w:tc>
          <w:tcPr>
            <w:tcW w:w="2660" w:type="dxa"/>
          </w:tcPr>
          <w:p w:rsidR="006A6F95" w:rsidRPr="00936C59" w:rsidRDefault="006A6F95" w:rsidP="0042001B">
            <w:pPr>
              <w:rPr>
                <w:b/>
                <w:bCs/>
              </w:rPr>
            </w:pPr>
            <w:r w:rsidRPr="00936C59">
              <w:rPr>
                <w:b/>
                <w:bCs/>
              </w:rPr>
              <w:t>Case Officer</w:t>
            </w:r>
          </w:p>
          <w:p w:rsidR="006A6F95" w:rsidRPr="00936C59" w:rsidRDefault="006A6F95" w:rsidP="0042001B">
            <w:pPr>
              <w:rPr>
                <w:b/>
                <w:bCs/>
              </w:rPr>
            </w:pPr>
          </w:p>
        </w:tc>
        <w:tc>
          <w:tcPr>
            <w:tcW w:w="1984" w:type="dxa"/>
          </w:tcPr>
          <w:p w:rsidR="006A6F95" w:rsidRPr="00936C59" w:rsidRDefault="006A6F95" w:rsidP="0042001B">
            <w:r w:rsidRPr="00936C59">
              <w:t>Clare Golden</w:t>
            </w:r>
          </w:p>
        </w:tc>
        <w:tc>
          <w:tcPr>
            <w:tcW w:w="4644" w:type="dxa"/>
            <w:gridSpan w:val="2"/>
          </w:tcPr>
          <w:p w:rsidR="006A6F95" w:rsidRPr="00936C59" w:rsidRDefault="006A6F95" w:rsidP="0042001B"/>
        </w:tc>
      </w:tr>
      <w:tr w:rsidR="006A6F95" w:rsidRPr="00936C59" w:rsidTr="0042001B">
        <w:tc>
          <w:tcPr>
            <w:tcW w:w="2660" w:type="dxa"/>
          </w:tcPr>
          <w:p w:rsidR="006A6F95" w:rsidRPr="00936C59" w:rsidRDefault="006A6F95" w:rsidP="0042001B">
            <w:r w:rsidRPr="00936C59">
              <w:rPr>
                <w:b/>
                <w:bCs/>
              </w:rPr>
              <w:t>Agent:</w:t>
            </w:r>
            <w:r w:rsidRPr="00936C59">
              <w:t xml:space="preserve"> </w:t>
            </w:r>
          </w:p>
        </w:tc>
        <w:tc>
          <w:tcPr>
            <w:tcW w:w="1984" w:type="dxa"/>
          </w:tcPr>
          <w:p w:rsidR="006A6F95" w:rsidRPr="00936C59" w:rsidRDefault="006A6F95" w:rsidP="0042001B">
            <w:r w:rsidRPr="00936C59">
              <w:t>N/A</w:t>
            </w:r>
          </w:p>
        </w:tc>
        <w:tc>
          <w:tcPr>
            <w:tcW w:w="1418" w:type="dxa"/>
          </w:tcPr>
          <w:p w:rsidR="006A6F95" w:rsidRPr="00936C59" w:rsidRDefault="006A6F95" w:rsidP="0042001B">
            <w:r w:rsidRPr="00936C59">
              <w:rPr>
                <w:b/>
                <w:bCs/>
              </w:rPr>
              <w:t>Applicant:</w:t>
            </w:r>
            <w:r w:rsidRPr="00936C59">
              <w:t xml:space="preserve"> </w:t>
            </w:r>
          </w:p>
        </w:tc>
        <w:tc>
          <w:tcPr>
            <w:tcW w:w="3226" w:type="dxa"/>
          </w:tcPr>
          <w:p w:rsidR="006A6F95" w:rsidRPr="00936C59" w:rsidRDefault="006A6F95" w:rsidP="0042001B">
            <w:r w:rsidRPr="00936C59">
              <w:t>N/A</w:t>
            </w:r>
          </w:p>
        </w:tc>
      </w:tr>
    </w:tbl>
    <w:p w:rsidR="006A6F95" w:rsidRPr="00936C59" w:rsidRDefault="006A6F95" w:rsidP="006A6F95">
      <w:pPr>
        <w:pBdr>
          <w:bottom w:val="single" w:sz="4" w:space="1" w:color="auto"/>
        </w:pBdr>
        <w:jc w:val="both"/>
      </w:pPr>
    </w:p>
    <w:p w:rsidR="006A6F95" w:rsidRPr="00936C59" w:rsidRDefault="006A6F95" w:rsidP="006A6F95">
      <w:pPr>
        <w:pBdr>
          <w:bottom w:val="single" w:sz="4" w:space="1" w:color="auto"/>
        </w:pBdr>
        <w:jc w:val="both"/>
      </w:pPr>
      <w:r w:rsidRPr="00936C59">
        <w:rPr>
          <w:b/>
        </w:rPr>
        <w:t>Reason at Committee:</w:t>
      </w:r>
      <w:r w:rsidRPr="00936C59">
        <w:t xml:space="preserve">  To approve or reject proposed nominations</w:t>
      </w:r>
      <w:r>
        <w:t>.</w:t>
      </w:r>
    </w:p>
    <w:p w:rsidR="006A6F95" w:rsidRPr="00936C59" w:rsidRDefault="006A6F95" w:rsidP="006A6F95">
      <w:pPr>
        <w:pStyle w:val="Header"/>
        <w:widowControl w:val="0"/>
        <w:tabs>
          <w:tab w:val="clear" w:pos="4153"/>
          <w:tab w:val="clear" w:pos="8306"/>
        </w:tabs>
        <w:jc w:val="both"/>
      </w:pPr>
    </w:p>
    <w:p w:rsidR="006A6F95" w:rsidRPr="00936C59" w:rsidRDefault="006A6F95" w:rsidP="006A6F95">
      <w:pPr>
        <w:widowControl w:val="0"/>
        <w:numPr>
          <w:ilvl w:val="0"/>
          <w:numId w:val="1"/>
        </w:numPr>
        <w:ind w:left="426" w:hanging="710"/>
        <w:jc w:val="both"/>
        <w:rPr>
          <w:b/>
          <w:bCs/>
        </w:rPr>
      </w:pPr>
      <w:r w:rsidRPr="00936C59">
        <w:rPr>
          <w:b/>
          <w:bCs/>
        </w:rPr>
        <w:t>RECOMMENDATION</w:t>
      </w:r>
    </w:p>
    <w:p w:rsidR="006A6F95" w:rsidRPr="00936C59" w:rsidRDefault="006A6F95" w:rsidP="006A6F95">
      <w:pPr>
        <w:widowControl w:val="0"/>
        <w:ind w:left="426" w:hanging="710"/>
        <w:jc w:val="both"/>
        <w:rPr>
          <w:b/>
          <w:bCs/>
        </w:rPr>
      </w:pPr>
    </w:p>
    <w:p w:rsidR="006A6F95" w:rsidRPr="00936C59" w:rsidRDefault="006A6F95" w:rsidP="006A6F95">
      <w:pPr>
        <w:widowControl w:val="0"/>
        <w:numPr>
          <w:ilvl w:val="1"/>
          <w:numId w:val="1"/>
        </w:numPr>
        <w:ind w:left="426" w:hanging="710"/>
        <w:jc w:val="both"/>
        <w:rPr>
          <w:bCs/>
        </w:rPr>
      </w:pPr>
      <w:r>
        <w:rPr>
          <w:bCs/>
        </w:rPr>
        <w:t>We</w:t>
      </w:r>
      <w:r w:rsidRPr="00936C59">
        <w:rPr>
          <w:bCs/>
        </w:rPr>
        <w:t xml:space="preserve">st Area Planning Committee is recommended to: </w:t>
      </w:r>
    </w:p>
    <w:p w:rsidR="006A6F95" w:rsidRPr="00936C59" w:rsidRDefault="006A6F95" w:rsidP="006A6F95">
      <w:pPr>
        <w:widowControl w:val="0"/>
        <w:jc w:val="both"/>
        <w:rPr>
          <w:bCs/>
        </w:rPr>
      </w:pPr>
    </w:p>
    <w:p w:rsidR="006A6F95" w:rsidRDefault="00303882" w:rsidP="006A6F95">
      <w:r>
        <w:t>A</w:t>
      </w:r>
      <w:r w:rsidR="00487068">
        <w:t xml:space="preserve">PPROVE </w:t>
      </w:r>
      <w:r>
        <w:t>the following nominations for additions to the register</w:t>
      </w:r>
    </w:p>
    <w:p w:rsidR="006A6F95" w:rsidRDefault="006A6F95" w:rsidP="00E04B60">
      <w:pPr>
        <w:widowControl w:val="0"/>
        <w:ind w:left="568" w:hanging="284"/>
        <w:jc w:val="both"/>
      </w:pPr>
      <w:r>
        <w:t xml:space="preserve">1. </w:t>
      </w:r>
      <w:r w:rsidRPr="00936C59">
        <w:t>Castle Mill Stream</w:t>
      </w:r>
    </w:p>
    <w:p w:rsidR="006A6F95" w:rsidRPr="00936C59" w:rsidRDefault="006A6F95" w:rsidP="00E04B60">
      <w:pPr>
        <w:widowControl w:val="0"/>
        <w:ind w:left="568" w:hanging="284"/>
        <w:jc w:val="both"/>
      </w:pPr>
      <w:r>
        <w:t>2.</w:t>
      </w:r>
      <w:r w:rsidRPr="00936C59">
        <w:t xml:space="preserve"> The site of the Franciscan (</w:t>
      </w:r>
      <w:proofErr w:type="spellStart"/>
      <w:r w:rsidRPr="00936C59">
        <w:t>Greyfriars</w:t>
      </w:r>
      <w:proofErr w:type="spellEnd"/>
      <w:r w:rsidRPr="00936C59">
        <w:t>) Priory</w:t>
      </w:r>
    </w:p>
    <w:p w:rsidR="006A6F95" w:rsidRPr="00936C59" w:rsidRDefault="006A6F95" w:rsidP="00E04B60">
      <w:pPr>
        <w:widowControl w:val="0"/>
        <w:ind w:left="568" w:hanging="284"/>
        <w:jc w:val="both"/>
      </w:pPr>
      <w:r>
        <w:t xml:space="preserve">3. </w:t>
      </w:r>
      <w:r w:rsidRPr="00936C59">
        <w:t>Brasenose Squash Courts</w:t>
      </w:r>
    </w:p>
    <w:p w:rsidR="006A6F95" w:rsidRPr="00936C59" w:rsidRDefault="006A6F95" w:rsidP="00E04B60">
      <w:pPr>
        <w:widowControl w:val="0"/>
        <w:ind w:left="568" w:hanging="284"/>
        <w:jc w:val="both"/>
      </w:pPr>
      <w:r>
        <w:t xml:space="preserve">4. </w:t>
      </w:r>
      <w:r w:rsidRPr="00936C59">
        <w:t xml:space="preserve">Bridge over </w:t>
      </w:r>
      <w:proofErr w:type="spellStart"/>
      <w:r w:rsidRPr="00936C59">
        <w:t>Bulstake</w:t>
      </w:r>
      <w:proofErr w:type="spellEnd"/>
      <w:r w:rsidRPr="00936C59">
        <w:t xml:space="preserve"> Stream, </w:t>
      </w:r>
      <w:proofErr w:type="spellStart"/>
      <w:r w:rsidRPr="00936C59">
        <w:t>Binsey</w:t>
      </w:r>
      <w:proofErr w:type="spellEnd"/>
      <w:r w:rsidRPr="00936C59">
        <w:t xml:space="preserve"> Lane</w:t>
      </w:r>
    </w:p>
    <w:p w:rsidR="006A6F95" w:rsidRDefault="006A6F95" w:rsidP="00E04B60">
      <w:pPr>
        <w:widowControl w:val="0"/>
        <w:ind w:left="568" w:hanging="284"/>
        <w:jc w:val="both"/>
      </w:pPr>
      <w:r>
        <w:t xml:space="preserve">5. </w:t>
      </w:r>
      <w:r w:rsidRPr="00936C59">
        <w:t>Fiddlers Island Stream</w:t>
      </w:r>
    </w:p>
    <w:p w:rsidR="006A6F95" w:rsidRPr="00936C59" w:rsidRDefault="006A6F95" w:rsidP="00E04B60">
      <w:pPr>
        <w:widowControl w:val="0"/>
        <w:ind w:left="568" w:hanging="284"/>
        <w:jc w:val="both"/>
      </w:pPr>
      <w:r>
        <w:t xml:space="preserve">6. </w:t>
      </w:r>
      <w:r w:rsidRPr="00936C59">
        <w:t>109-111 Magdalen Road</w:t>
      </w:r>
    </w:p>
    <w:p w:rsidR="006A6F95" w:rsidRPr="00936C59" w:rsidRDefault="006A6F95" w:rsidP="00E04B60">
      <w:pPr>
        <w:widowControl w:val="0"/>
        <w:ind w:left="568" w:hanging="284"/>
        <w:jc w:val="both"/>
      </w:pPr>
      <w:r>
        <w:t>7</w:t>
      </w:r>
      <w:r w:rsidRPr="00936C59">
        <w:t>. 76 Lonsdale Road</w:t>
      </w:r>
    </w:p>
    <w:p w:rsidR="006A6F95" w:rsidRPr="00936C59" w:rsidRDefault="006A6F95" w:rsidP="00E04B60">
      <w:pPr>
        <w:widowControl w:val="0"/>
        <w:ind w:left="568" w:hanging="284"/>
        <w:jc w:val="both"/>
      </w:pPr>
      <w:r>
        <w:t>8</w:t>
      </w:r>
      <w:r w:rsidRPr="00936C59">
        <w:t>. 1-9 Cyprus Terrace</w:t>
      </w:r>
    </w:p>
    <w:p w:rsidR="006A6F95" w:rsidRPr="00936C59" w:rsidRDefault="006A6F95" w:rsidP="00E04B60">
      <w:pPr>
        <w:widowControl w:val="0"/>
        <w:ind w:left="568" w:hanging="284"/>
        <w:jc w:val="both"/>
      </w:pPr>
      <w:r>
        <w:t>9</w:t>
      </w:r>
      <w:r w:rsidRPr="00936C59">
        <w:t>. Oriel College playing fields</w:t>
      </w:r>
    </w:p>
    <w:p w:rsidR="006A6F95" w:rsidRPr="00936C59" w:rsidRDefault="006A6F95" w:rsidP="00E04B60">
      <w:pPr>
        <w:widowControl w:val="0"/>
        <w:ind w:left="568" w:hanging="284"/>
        <w:jc w:val="both"/>
      </w:pPr>
      <w:r>
        <w:t>10</w:t>
      </w:r>
      <w:r w:rsidRPr="00936C59">
        <w:t xml:space="preserve">. South Oxford Community Centre </w:t>
      </w:r>
    </w:p>
    <w:p w:rsidR="006A6F95" w:rsidRPr="00936C59" w:rsidRDefault="006A6F95" w:rsidP="00E04B60">
      <w:pPr>
        <w:widowControl w:val="0"/>
        <w:ind w:left="568" w:hanging="284"/>
        <w:jc w:val="both"/>
      </w:pPr>
      <w:r>
        <w:t>11</w:t>
      </w:r>
      <w:r w:rsidRPr="00936C59">
        <w:t xml:space="preserve">. Site of </w:t>
      </w:r>
      <w:proofErr w:type="spellStart"/>
      <w:r w:rsidRPr="00936C59">
        <w:t>Osney</w:t>
      </w:r>
      <w:proofErr w:type="spellEnd"/>
      <w:r w:rsidRPr="00936C59">
        <w:t xml:space="preserve"> Abbey</w:t>
      </w:r>
    </w:p>
    <w:p w:rsidR="006A6F95" w:rsidRPr="00936C59" w:rsidRDefault="006A6F95" w:rsidP="00E04B60">
      <w:pPr>
        <w:widowControl w:val="0"/>
        <w:ind w:left="568" w:hanging="284"/>
        <w:jc w:val="both"/>
      </w:pPr>
      <w:proofErr w:type="gramStart"/>
      <w:r>
        <w:t>12</w:t>
      </w:r>
      <w:r w:rsidRPr="00936C59">
        <w:t>. 4 South Parade</w:t>
      </w:r>
      <w:proofErr w:type="gramEnd"/>
    </w:p>
    <w:p w:rsidR="006A6F95" w:rsidRPr="00936C59" w:rsidRDefault="006A6F95" w:rsidP="00E04B60">
      <w:pPr>
        <w:widowControl w:val="0"/>
        <w:ind w:left="568" w:hanging="284"/>
        <w:jc w:val="both"/>
      </w:pPr>
      <w:r>
        <w:t>13</w:t>
      </w:r>
      <w:r w:rsidRPr="00936C59">
        <w:t>. 5-6 South Parade</w:t>
      </w:r>
    </w:p>
    <w:p w:rsidR="006A6F95" w:rsidRPr="00936C59" w:rsidRDefault="006A6F95" w:rsidP="00E04B60">
      <w:pPr>
        <w:widowControl w:val="0"/>
        <w:ind w:left="568" w:hanging="284"/>
        <w:jc w:val="both"/>
      </w:pPr>
      <w:r>
        <w:t>14</w:t>
      </w:r>
      <w:r w:rsidRPr="00936C59">
        <w:t>. South Park</w:t>
      </w:r>
    </w:p>
    <w:p w:rsidR="006A6F95" w:rsidRPr="00936C59" w:rsidRDefault="006A6F95" w:rsidP="00E04B60">
      <w:pPr>
        <w:widowControl w:val="0"/>
        <w:ind w:left="568" w:hanging="284"/>
        <w:jc w:val="both"/>
      </w:pPr>
      <w:r>
        <w:t>15</w:t>
      </w:r>
      <w:r w:rsidRPr="00936C59">
        <w:t>. United Reformed (formerly congregational church), Banbury Road</w:t>
      </w:r>
    </w:p>
    <w:p w:rsidR="006A6F95" w:rsidRPr="00936C59" w:rsidRDefault="006A6F95" w:rsidP="00E04B60">
      <w:pPr>
        <w:widowControl w:val="0"/>
        <w:ind w:left="568" w:hanging="284"/>
        <w:jc w:val="both"/>
      </w:pPr>
      <w:r>
        <w:t>16</w:t>
      </w:r>
      <w:r w:rsidRPr="00936C59">
        <w:t xml:space="preserve">. </w:t>
      </w:r>
      <w:proofErr w:type="spellStart"/>
      <w:r w:rsidRPr="00936C59">
        <w:t>Warneford</w:t>
      </w:r>
      <w:proofErr w:type="spellEnd"/>
      <w:r w:rsidRPr="00936C59">
        <w:t xml:space="preserve"> Meadow</w:t>
      </w:r>
    </w:p>
    <w:p w:rsidR="006A6F95" w:rsidRPr="00936C59" w:rsidRDefault="006A6F95" w:rsidP="006A6F95">
      <w:pPr>
        <w:widowControl w:val="0"/>
        <w:jc w:val="both"/>
      </w:pPr>
    </w:p>
    <w:p w:rsidR="006A6F95" w:rsidRPr="00936C59" w:rsidRDefault="006A6F95" w:rsidP="006A6F95">
      <w:pPr>
        <w:widowControl w:val="0"/>
        <w:jc w:val="both"/>
      </w:pPr>
      <w:r w:rsidRPr="00936C59">
        <w:t>REJECT the following nominations for addition to the register.</w:t>
      </w:r>
    </w:p>
    <w:p w:rsidR="006A6F95" w:rsidRPr="00936C59" w:rsidRDefault="006A6F95" w:rsidP="00E04B60">
      <w:pPr>
        <w:ind w:left="720" w:hanging="436"/>
      </w:pPr>
      <w:r w:rsidRPr="00936C59">
        <w:t>1. The Wareham Stream</w:t>
      </w:r>
    </w:p>
    <w:p w:rsidR="006A6F95" w:rsidRPr="00936C59" w:rsidRDefault="006A6F95" w:rsidP="00E04B60">
      <w:pPr>
        <w:ind w:left="720" w:hanging="436"/>
      </w:pPr>
      <w:r w:rsidRPr="00936C59">
        <w:t>2. Fisher Row</w:t>
      </w:r>
    </w:p>
    <w:p w:rsidR="006A6F95" w:rsidRPr="00936C59" w:rsidRDefault="006A6F95" w:rsidP="00E04B60">
      <w:pPr>
        <w:ind w:left="720" w:hanging="436"/>
      </w:pPr>
      <w:r w:rsidRPr="00936C59">
        <w:t xml:space="preserve">3. The </w:t>
      </w:r>
      <w:proofErr w:type="spellStart"/>
      <w:r w:rsidRPr="00936C59">
        <w:t>Hollybush</w:t>
      </w:r>
      <w:proofErr w:type="spellEnd"/>
      <w:r w:rsidRPr="00936C59">
        <w:t xml:space="preserve"> Inn</w:t>
      </w:r>
    </w:p>
    <w:p w:rsidR="006A6F95" w:rsidRPr="00936C59" w:rsidRDefault="006A6F95" w:rsidP="00E04B60">
      <w:pPr>
        <w:ind w:left="720" w:hanging="436"/>
      </w:pPr>
      <w:r w:rsidRPr="00936C59">
        <w:t>4. Oriel Square historic paving</w:t>
      </w:r>
    </w:p>
    <w:p w:rsidR="006A6F95" w:rsidRDefault="006A6F95" w:rsidP="006A6F95">
      <w:pPr>
        <w:widowControl w:val="0"/>
        <w:jc w:val="both"/>
      </w:pPr>
    </w:p>
    <w:p w:rsidR="00E04B60" w:rsidRPr="00936C59" w:rsidRDefault="00E04B60" w:rsidP="006A6F95">
      <w:pPr>
        <w:widowControl w:val="0"/>
        <w:jc w:val="both"/>
      </w:pPr>
    </w:p>
    <w:p w:rsidR="006A6F95" w:rsidRPr="00936C59" w:rsidRDefault="006A6F95" w:rsidP="006A6F95">
      <w:pPr>
        <w:widowControl w:val="0"/>
        <w:numPr>
          <w:ilvl w:val="0"/>
          <w:numId w:val="1"/>
        </w:numPr>
        <w:ind w:left="426" w:hanging="710"/>
        <w:jc w:val="both"/>
        <w:rPr>
          <w:b/>
          <w:bCs/>
        </w:rPr>
      </w:pPr>
      <w:r w:rsidRPr="00936C59">
        <w:rPr>
          <w:b/>
          <w:bCs/>
        </w:rPr>
        <w:lastRenderedPageBreak/>
        <w:t>BACKGROUND</w:t>
      </w:r>
    </w:p>
    <w:p w:rsidR="006A6F95" w:rsidRPr="00936C59" w:rsidRDefault="006A6F95" w:rsidP="006A6F95">
      <w:pPr>
        <w:widowControl w:val="0"/>
        <w:ind w:left="426" w:hanging="710"/>
        <w:jc w:val="both"/>
        <w:rPr>
          <w:b/>
          <w:bCs/>
        </w:rPr>
      </w:pPr>
    </w:p>
    <w:p w:rsidR="006A6F95" w:rsidRPr="00936C59" w:rsidRDefault="006A6F95" w:rsidP="006A6F95">
      <w:pPr>
        <w:widowControl w:val="0"/>
        <w:numPr>
          <w:ilvl w:val="1"/>
          <w:numId w:val="1"/>
        </w:numPr>
        <w:ind w:left="426" w:hanging="710"/>
        <w:jc w:val="both"/>
        <w:rPr>
          <w:bCs/>
        </w:rPr>
      </w:pPr>
      <w:r w:rsidRPr="00936C59">
        <w:rPr>
          <w:bCs/>
        </w:rPr>
        <w:t xml:space="preserve">This report considers the addition of </w:t>
      </w:r>
      <w:r>
        <w:rPr>
          <w:bCs/>
        </w:rPr>
        <w:t>20</w:t>
      </w:r>
      <w:r w:rsidRPr="00936C59">
        <w:rPr>
          <w:bCs/>
        </w:rPr>
        <w:t xml:space="preserve"> nominations to be added to the Oxford Heritage Asset Register (OHAR)</w:t>
      </w:r>
      <w:r w:rsidR="00303882">
        <w:rPr>
          <w:bCs/>
        </w:rPr>
        <w:t>, which is our version of a Local List</w:t>
      </w:r>
      <w:r w:rsidRPr="00936C59">
        <w:rPr>
          <w:bCs/>
        </w:rPr>
        <w:t xml:space="preserve">. The OHAR was developed between 2012-15 in partnership with English Heritage (Historic England), Oxford Preservation Trust and local communities. It is a register of buildings, structures, features or places that make a special contribution to the character of Oxford and its neighbourhoods through their locally significant historic, architectural, archaeological or artistic interest. </w:t>
      </w:r>
    </w:p>
    <w:p w:rsidR="006A6F95" w:rsidRPr="00936C59" w:rsidRDefault="006A6F95" w:rsidP="006A6F95">
      <w:pPr>
        <w:widowControl w:val="0"/>
        <w:ind w:left="426"/>
        <w:jc w:val="both"/>
        <w:rPr>
          <w:bCs/>
        </w:rPr>
      </w:pPr>
    </w:p>
    <w:p w:rsidR="006A6F95" w:rsidRPr="00936C59" w:rsidRDefault="006A6F95" w:rsidP="006A6F95">
      <w:pPr>
        <w:widowControl w:val="0"/>
        <w:numPr>
          <w:ilvl w:val="1"/>
          <w:numId w:val="1"/>
        </w:numPr>
        <w:ind w:left="426" w:hanging="710"/>
        <w:jc w:val="both"/>
        <w:rPr>
          <w:bCs/>
        </w:rPr>
      </w:pPr>
      <w:r w:rsidRPr="00936C59">
        <w:rPr>
          <w:bCs/>
        </w:rPr>
        <w:t>The</w:t>
      </w:r>
      <w:r w:rsidRPr="00936C59">
        <w:rPr>
          <w:rFonts w:ascii="Helvetica" w:hAnsi="Helvetica" w:cs="Helvetica"/>
          <w:lang w:eastAsia="en-GB"/>
        </w:rPr>
        <w:t xml:space="preserve"> National Heritage List, administered by Historic England (formerly English Heritage) lists those buildings, structures and monuments of clearly national significance (such as, listed buildings, scheduled monuments, and registered parks and gardens). The Oxford Heritage Asset Register provides the opportunity to identify those elements of </w:t>
      </w:r>
      <w:r w:rsidR="00303882">
        <w:rPr>
          <w:rFonts w:ascii="Helvetica" w:hAnsi="Helvetica" w:cs="Helvetica"/>
          <w:lang w:eastAsia="en-GB"/>
        </w:rPr>
        <w:t>Oxford’s</w:t>
      </w:r>
      <w:r w:rsidRPr="00936C59">
        <w:rPr>
          <w:rFonts w:ascii="Helvetica" w:hAnsi="Helvetica" w:cs="Helvetica"/>
          <w:lang w:eastAsia="en-GB"/>
        </w:rPr>
        <w:t xml:space="preserve"> historic environment particularly valued by local communities.</w:t>
      </w:r>
      <w:r w:rsidR="00A95311">
        <w:rPr>
          <w:rFonts w:ascii="Helvetica" w:hAnsi="Helvetica" w:cs="Helvetica"/>
          <w:lang w:eastAsia="en-GB"/>
        </w:rPr>
        <w:t xml:space="preserve"> Nominations are always open, but we will now review those received every 6 months.</w:t>
      </w:r>
    </w:p>
    <w:p w:rsidR="006A6F95" w:rsidRPr="00936C59" w:rsidRDefault="006A6F95" w:rsidP="006A6F95">
      <w:pPr>
        <w:rPr>
          <w:rFonts w:ascii="Helvetica" w:hAnsi="Helvetica" w:cs="Helvetica"/>
          <w:lang w:eastAsia="en-GB"/>
        </w:rPr>
      </w:pPr>
    </w:p>
    <w:p w:rsidR="006A6F95" w:rsidRPr="00936C59" w:rsidRDefault="006A6F95" w:rsidP="006A6F95">
      <w:pPr>
        <w:widowControl w:val="0"/>
        <w:numPr>
          <w:ilvl w:val="1"/>
          <w:numId w:val="1"/>
        </w:numPr>
        <w:ind w:left="426" w:hanging="710"/>
        <w:jc w:val="both"/>
        <w:rPr>
          <w:bCs/>
        </w:rPr>
      </w:pPr>
      <w:r w:rsidRPr="00936C59">
        <w:rPr>
          <w:rFonts w:ascii="Helvetica" w:hAnsi="Helvetica" w:cs="Helvetica"/>
          <w:lang w:eastAsia="en-GB"/>
        </w:rPr>
        <w:t>Inclusion of a building or place on the Heritage Asset Register places no additional legal requirements or responsibilities on property owners over and above those already required for planning permission or building regulation approval.</w:t>
      </w:r>
      <w:r w:rsidR="00A95311">
        <w:rPr>
          <w:rFonts w:ascii="Helvetica" w:hAnsi="Helvetica" w:cs="Helvetica"/>
          <w:lang w:eastAsia="en-GB"/>
        </w:rPr>
        <w:t xml:space="preserve"> </w:t>
      </w:r>
      <w:r w:rsidR="00A95311">
        <w:rPr>
          <w:bCs/>
        </w:rPr>
        <w:t xml:space="preserve">There is no </w:t>
      </w:r>
      <w:proofErr w:type="gramStart"/>
      <w:r w:rsidR="00A95311">
        <w:rPr>
          <w:bCs/>
        </w:rPr>
        <w:t>protect</w:t>
      </w:r>
      <w:proofErr w:type="gramEnd"/>
      <w:r w:rsidR="00A95311">
        <w:rPr>
          <w:bCs/>
        </w:rPr>
        <w:t xml:space="preserve"> from demolition, for example.</w:t>
      </w:r>
      <w:r w:rsidR="00A95311" w:rsidRPr="00936C59">
        <w:rPr>
          <w:bCs/>
        </w:rPr>
        <w:t xml:space="preserve"> </w:t>
      </w:r>
      <w:r>
        <w:rPr>
          <w:bCs/>
        </w:rPr>
        <w:t xml:space="preserve"> </w:t>
      </w:r>
      <w:r w:rsidRPr="00936C59">
        <w:rPr>
          <w:rFonts w:ascii="Helvetica" w:hAnsi="Helvetica" w:cs="Helvetica"/>
          <w:lang w:eastAsia="en-GB"/>
        </w:rPr>
        <w:t xml:space="preserve">It can, however, help to </w:t>
      </w:r>
      <w:r w:rsidR="00303882">
        <w:rPr>
          <w:rFonts w:ascii="Helvetica" w:hAnsi="Helvetica" w:cs="Helvetica"/>
          <w:lang w:eastAsia="en-GB"/>
        </w:rPr>
        <w:t>guide</w:t>
      </w:r>
      <w:r w:rsidRPr="00936C59">
        <w:rPr>
          <w:rFonts w:ascii="Helvetica" w:hAnsi="Helvetica" w:cs="Helvetica"/>
          <w:lang w:eastAsia="en-GB"/>
        </w:rPr>
        <w:t> planning decisions in a way that conserves and enhances local character. Under the National Planning Policy Framework the conservation and contribution of locally listed heritage assets will be a material consideration in planning decisions that directly affect them or their setting.</w:t>
      </w:r>
    </w:p>
    <w:p w:rsidR="006A6F95" w:rsidRPr="00936C59" w:rsidRDefault="006A6F95" w:rsidP="006A6F95">
      <w:pPr>
        <w:rPr>
          <w:bCs/>
        </w:rPr>
      </w:pPr>
    </w:p>
    <w:p w:rsidR="006A6F95" w:rsidRDefault="006A6F95" w:rsidP="006A6F95">
      <w:pPr>
        <w:widowControl w:val="0"/>
        <w:numPr>
          <w:ilvl w:val="1"/>
          <w:numId w:val="1"/>
        </w:numPr>
        <w:ind w:left="426" w:hanging="710"/>
        <w:jc w:val="both"/>
        <w:rPr>
          <w:bCs/>
        </w:rPr>
      </w:pPr>
      <w:r w:rsidRPr="00936C59">
        <w:rPr>
          <w:bCs/>
        </w:rPr>
        <w:t>To be considered as an addition to the register, nominations must meet the following criteria. They must be capable of meeting the government’s definition of a heritage asset, they must possess heritage interest that can be conserved and enjoyed, they must have a value as heritage for the character and ident</w:t>
      </w:r>
      <w:r>
        <w:rPr>
          <w:bCs/>
        </w:rPr>
        <w:t>ity of the cit</w:t>
      </w:r>
      <w:r w:rsidRPr="00936C59">
        <w:rPr>
          <w:bCs/>
        </w:rPr>
        <w:t>y, neighbourhood or community, they must have a level of significance that is greater than the general positive identified character of the local area.</w:t>
      </w:r>
      <w:r w:rsidR="00A95311">
        <w:rPr>
          <w:bCs/>
        </w:rPr>
        <w:t xml:space="preserve"> </w:t>
      </w:r>
      <w:r w:rsidRPr="00936C59">
        <w:rPr>
          <w:bCs/>
        </w:rPr>
        <w:t xml:space="preserve">Each nomination has been </w:t>
      </w:r>
      <w:r w:rsidR="00A95311">
        <w:rPr>
          <w:bCs/>
        </w:rPr>
        <w:t xml:space="preserve">consulted upon and then </w:t>
      </w:r>
      <w:r w:rsidRPr="00936C59">
        <w:rPr>
          <w:bCs/>
        </w:rPr>
        <w:t>assessed by a panel of conservation officers and the recommendations for each one are set out below.</w:t>
      </w:r>
    </w:p>
    <w:p w:rsidR="00A95311" w:rsidRPr="00A95311" w:rsidRDefault="00A95311" w:rsidP="00A95311">
      <w:pPr>
        <w:rPr>
          <w:bCs/>
        </w:rPr>
      </w:pPr>
    </w:p>
    <w:p w:rsidR="00A95311" w:rsidRPr="00936C59" w:rsidRDefault="00A95311" w:rsidP="006A6F95">
      <w:pPr>
        <w:widowControl w:val="0"/>
        <w:numPr>
          <w:ilvl w:val="1"/>
          <w:numId w:val="1"/>
        </w:numPr>
        <w:ind w:left="426" w:hanging="710"/>
        <w:jc w:val="both"/>
        <w:rPr>
          <w:bCs/>
        </w:rPr>
      </w:pPr>
      <w:r>
        <w:rPr>
          <w:bCs/>
        </w:rPr>
        <w:t xml:space="preserve">The OHAR does not include heritage assets that are located within a conservation area. This is because they would normally be identified and assessed as part of a conservation area appraisal and their status would already be a material consideration within decision making because they are located within a conservation area. </w:t>
      </w:r>
    </w:p>
    <w:p w:rsidR="006A6F95" w:rsidRPr="00936C59" w:rsidRDefault="006A6F95" w:rsidP="006A6F95">
      <w:pPr>
        <w:rPr>
          <w:bCs/>
        </w:rPr>
      </w:pPr>
    </w:p>
    <w:p w:rsidR="006A6F95" w:rsidRPr="00936C59" w:rsidRDefault="006A6F95" w:rsidP="006A6F95">
      <w:pPr>
        <w:widowControl w:val="0"/>
        <w:numPr>
          <w:ilvl w:val="1"/>
          <w:numId w:val="1"/>
        </w:numPr>
        <w:ind w:left="426" w:hanging="710"/>
        <w:jc w:val="both"/>
        <w:rPr>
          <w:bCs/>
        </w:rPr>
      </w:pPr>
      <w:r w:rsidRPr="00936C59">
        <w:rPr>
          <w:b/>
          <w:bCs/>
        </w:rPr>
        <w:t>THE NOMINATIONS</w:t>
      </w:r>
    </w:p>
    <w:p w:rsidR="006A6F95" w:rsidRPr="00936C59" w:rsidRDefault="006A6F95" w:rsidP="006A6F95">
      <w:pPr>
        <w:rPr>
          <w:bCs/>
        </w:rPr>
      </w:pPr>
    </w:p>
    <w:p w:rsidR="006A6F95" w:rsidRDefault="006A6F95" w:rsidP="006A6F95">
      <w:pPr>
        <w:widowControl w:val="0"/>
        <w:numPr>
          <w:ilvl w:val="1"/>
          <w:numId w:val="1"/>
        </w:numPr>
        <w:ind w:left="426" w:hanging="710"/>
        <w:jc w:val="both"/>
        <w:rPr>
          <w:bCs/>
        </w:rPr>
      </w:pPr>
      <w:r w:rsidRPr="00936C59">
        <w:rPr>
          <w:bCs/>
        </w:rPr>
        <w:t>There are a total of</w:t>
      </w:r>
      <w:r>
        <w:rPr>
          <w:bCs/>
        </w:rPr>
        <w:t xml:space="preserve"> 20</w:t>
      </w:r>
      <w:r w:rsidRPr="00936C59">
        <w:rPr>
          <w:bCs/>
        </w:rPr>
        <w:t xml:space="preserve"> nominations.</w:t>
      </w:r>
      <w:r w:rsidR="00A17BC6">
        <w:rPr>
          <w:bCs/>
        </w:rPr>
        <w:t xml:space="preserve"> These comprise historic and unknown public nominations that have been waiting to be reviewed for some time. </w:t>
      </w:r>
      <w:r w:rsidR="00A17BC6" w:rsidRPr="00936C59">
        <w:rPr>
          <w:bCs/>
        </w:rPr>
        <w:t xml:space="preserve"> </w:t>
      </w:r>
      <w:r w:rsidRPr="00936C59">
        <w:rPr>
          <w:bCs/>
        </w:rPr>
        <w:t xml:space="preserve">Appendix A sets out what those are </w:t>
      </w:r>
      <w:r>
        <w:rPr>
          <w:bCs/>
        </w:rPr>
        <w:t xml:space="preserve">(for both West and East areas) </w:t>
      </w:r>
      <w:r w:rsidRPr="00936C59">
        <w:rPr>
          <w:bCs/>
        </w:rPr>
        <w:t>and the recommendations and reasons for adding them to the register or rejecting them.</w:t>
      </w:r>
      <w:r>
        <w:rPr>
          <w:bCs/>
        </w:rPr>
        <w:t xml:space="preserve"> </w:t>
      </w:r>
    </w:p>
    <w:p w:rsidR="006A6F95" w:rsidRDefault="006A6F95" w:rsidP="006A6F95">
      <w:pPr>
        <w:pStyle w:val="BodyText2"/>
        <w:rPr>
          <w:bCs/>
        </w:rPr>
      </w:pPr>
    </w:p>
    <w:p w:rsidR="00E04B60" w:rsidRDefault="00E04B60" w:rsidP="006A6F95">
      <w:pPr>
        <w:pStyle w:val="BodyText2"/>
        <w:rPr>
          <w:bCs/>
        </w:rPr>
      </w:pPr>
    </w:p>
    <w:p w:rsidR="006A6F95" w:rsidRPr="00936C59" w:rsidRDefault="006A6F95" w:rsidP="00E04B60">
      <w:pPr>
        <w:pStyle w:val="BodyText2"/>
        <w:numPr>
          <w:ilvl w:val="0"/>
          <w:numId w:val="1"/>
        </w:numPr>
        <w:ind w:hanging="644"/>
        <w:rPr>
          <w:b/>
          <w:bCs/>
        </w:rPr>
      </w:pPr>
      <w:r>
        <w:rPr>
          <w:b/>
          <w:bCs/>
        </w:rPr>
        <w:lastRenderedPageBreak/>
        <w:t xml:space="preserve"> </w:t>
      </w:r>
      <w:r w:rsidRPr="00936C59">
        <w:rPr>
          <w:b/>
          <w:bCs/>
        </w:rPr>
        <w:t xml:space="preserve">CONSULTATION </w:t>
      </w:r>
    </w:p>
    <w:p w:rsidR="006A6F95" w:rsidRPr="00936C59" w:rsidRDefault="006A6F95" w:rsidP="006A6F95">
      <w:pPr>
        <w:pStyle w:val="BodyText2"/>
        <w:ind w:left="426" w:hanging="710"/>
        <w:rPr>
          <w:b/>
          <w:bCs/>
        </w:rPr>
      </w:pPr>
    </w:p>
    <w:p w:rsidR="006A6F95" w:rsidRPr="00936C59" w:rsidRDefault="006A6F95" w:rsidP="006A6F95">
      <w:pPr>
        <w:pStyle w:val="BodyText2"/>
        <w:numPr>
          <w:ilvl w:val="1"/>
          <w:numId w:val="1"/>
        </w:numPr>
        <w:ind w:left="426" w:hanging="710"/>
        <w:rPr>
          <w:bCs/>
        </w:rPr>
      </w:pPr>
      <w:r w:rsidRPr="00936C59">
        <w:rPr>
          <w:bCs/>
        </w:rPr>
        <w:t>Public consultation took place</w:t>
      </w:r>
      <w:r w:rsidR="00A95311">
        <w:rPr>
          <w:bCs/>
        </w:rPr>
        <w:t xml:space="preserve"> for 4 weeks</w:t>
      </w:r>
      <w:r w:rsidRPr="00936C59">
        <w:rPr>
          <w:bCs/>
        </w:rPr>
        <w:t xml:space="preserve"> </w:t>
      </w:r>
      <w:proofErr w:type="gramStart"/>
      <w:r w:rsidRPr="00936C59">
        <w:rPr>
          <w:bCs/>
        </w:rPr>
        <w:t>between 29 January to 26 February 2018</w:t>
      </w:r>
      <w:proofErr w:type="gramEnd"/>
      <w:r w:rsidRPr="00936C59">
        <w:rPr>
          <w:bCs/>
        </w:rPr>
        <w:t>. The purpose of the consultation was to invite comments about the proposed nominations and whether they should be added to the register</w:t>
      </w:r>
      <w:r>
        <w:rPr>
          <w:bCs/>
        </w:rPr>
        <w:t xml:space="preserve"> or not</w:t>
      </w:r>
      <w:r w:rsidRPr="00936C59">
        <w:rPr>
          <w:bCs/>
        </w:rPr>
        <w:t xml:space="preserve">. A questionnaire was available on the council’s website and the consultation was promoted through the use of social media, a newspaper advert and site notices. Hard copies of the questionnaire were available at St Aldates Chambers reception and Oxford Central Library. Letters were sent to property owners, key stakeholder and local interest groups. </w:t>
      </w:r>
    </w:p>
    <w:p w:rsidR="006A6F95" w:rsidRPr="00936C59" w:rsidRDefault="006A6F95" w:rsidP="006A6F95">
      <w:pPr>
        <w:pStyle w:val="BodyText2"/>
        <w:ind w:left="426"/>
        <w:rPr>
          <w:bCs/>
        </w:rPr>
      </w:pPr>
    </w:p>
    <w:p w:rsidR="006A6F95" w:rsidRPr="00936C59" w:rsidRDefault="006A6F95" w:rsidP="006A6F95">
      <w:pPr>
        <w:pStyle w:val="BodyText2"/>
        <w:numPr>
          <w:ilvl w:val="1"/>
          <w:numId w:val="1"/>
        </w:numPr>
        <w:ind w:left="426" w:hanging="710"/>
        <w:rPr>
          <w:bCs/>
        </w:rPr>
      </w:pPr>
      <w:r w:rsidRPr="00936C59">
        <w:rPr>
          <w:bCs/>
        </w:rPr>
        <w:t>A total of 49 responses were received</w:t>
      </w:r>
      <w:r w:rsidR="00A17BC6">
        <w:rPr>
          <w:bCs/>
        </w:rPr>
        <w:t xml:space="preserve">. </w:t>
      </w:r>
      <w:r w:rsidRPr="00936C59">
        <w:rPr>
          <w:bCs/>
        </w:rPr>
        <w:t>A summary of their comments has been set out in Appendix A.</w:t>
      </w:r>
    </w:p>
    <w:p w:rsidR="006A6F95" w:rsidRPr="00936C59" w:rsidRDefault="006A6F95" w:rsidP="006A6F95">
      <w:pPr>
        <w:widowControl w:val="0"/>
        <w:tabs>
          <w:tab w:val="left" w:pos="8789"/>
        </w:tabs>
        <w:ind w:left="426" w:right="-1" w:hanging="710"/>
        <w:jc w:val="both"/>
        <w:rPr>
          <w:lang w:val="en-US"/>
        </w:rPr>
      </w:pPr>
    </w:p>
    <w:p w:rsidR="006A6F95" w:rsidRPr="00936C59" w:rsidRDefault="006A6F95" w:rsidP="006A6F95">
      <w:pPr>
        <w:widowControl w:val="0"/>
        <w:numPr>
          <w:ilvl w:val="0"/>
          <w:numId w:val="1"/>
        </w:numPr>
        <w:tabs>
          <w:tab w:val="left" w:pos="284"/>
        </w:tabs>
        <w:ind w:left="426" w:right="-1" w:hanging="710"/>
        <w:jc w:val="both"/>
        <w:rPr>
          <w:b/>
          <w:bCs/>
        </w:rPr>
      </w:pPr>
      <w:r w:rsidRPr="00936C59">
        <w:rPr>
          <w:b/>
          <w:bCs/>
        </w:rPr>
        <w:t>CONCLUSION</w:t>
      </w:r>
    </w:p>
    <w:p w:rsidR="006A6F95" w:rsidRPr="00936C59" w:rsidRDefault="006A6F95" w:rsidP="006A6F95">
      <w:pPr>
        <w:widowControl w:val="0"/>
        <w:tabs>
          <w:tab w:val="left" w:pos="284"/>
        </w:tabs>
        <w:ind w:left="426" w:right="-1" w:hanging="710"/>
        <w:jc w:val="both"/>
        <w:rPr>
          <w:b/>
          <w:bCs/>
        </w:rPr>
      </w:pPr>
    </w:p>
    <w:p w:rsidR="006A6F95" w:rsidRDefault="006A6F95" w:rsidP="006A6F95">
      <w:pPr>
        <w:widowControl w:val="0"/>
        <w:numPr>
          <w:ilvl w:val="1"/>
          <w:numId w:val="1"/>
        </w:numPr>
        <w:tabs>
          <w:tab w:val="left" w:pos="284"/>
        </w:tabs>
        <w:ind w:left="426" w:right="-1" w:hanging="710"/>
        <w:jc w:val="both"/>
        <w:rPr>
          <w:bCs/>
        </w:rPr>
      </w:pPr>
      <w:r>
        <w:rPr>
          <w:bCs/>
        </w:rPr>
        <w:t xml:space="preserve">  It is recommended that committee approve the addition of 16 nominations to the Oxford Heritage Asset Register</w:t>
      </w:r>
      <w:r w:rsidR="00A95311">
        <w:rPr>
          <w:bCs/>
        </w:rPr>
        <w:t xml:space="preserve"> in the West Area</w:t>
      </w:r>
      <w:r>
        <w:rPr>
          <w:bCs/>
        </w:rPr>
        <w:t xml:space="preserve"> because they meet the criteria for inclusion and reject the 4 nominations that do not meet </w:t>
      </w:r>
      <w:proofErr w:type="gramStart"/>
      <w:r>
        <w:rPr>
          <w:bCs/>
        </w:rPr>
        <w:t>this criteria</w:t>
      </w:r>
      <w:proofErr w:type="gramEnd"/>
      <w:r>
        <w:rPr>
          <w:bCs/>
        </w:rPr>
        <w:t>.</w:t>
      </w:r>
    </w:p>
    <w:p w:rsidR="006A6F95" w:rsidRPr="00936C59" w:rsidRDefault="006A6F95" w:rsidP="006A6F95">
      <w:pPr>
        <w:widowControl w:val="0"/>
        <w:tabs>
          <w:tab w:val="left" w:pos="284"/>
        </w:tabs>
        <w:ind w:left="426" w:right="-1" w:hanging="710"/>
        <w:jc w:val="both"/>
        <w:rPr>
          <w:sz w:val="22"/>
          <w:szCs w:val="22"/>
        </w:rPr>
      </w:pPr>
    </w:p>
    <w:p w:rsidR="006A6F95" w:rsidRPr="00936C59" w:rsidRDefault="006A6F95" w:rsidP="006A6F95">
      <w:pPr>
        <w:pStyle w:val="ListParagraph"/>
        <w:widowControl w:val="0"/>
        <w:tabs>
          <w:tab w:val="left" w:pos="284"/>
        </w:tabs>
        <w:autoSpaceDE w:val="0"/>
        <w:autoSpaceDN w:val="0"/>
        <w:spacing w:after="0" w:line="240" w:lineRule="auto"/>
        <w:ind w:left="0" w:right="-1"/>
        <w:jc w:val="both"/>
        <w:rPr>
          <w:rFonts w:ascii="Arial" w:hAnsi="Arial" w:cs="Arial"/>
          <w:bCs/>
          <w:vanish/>
          <w:sz w:val="24"/>
          <w:szCs w:val="24"/>
        </w:rPr>
      </w:pPr>
    </w:p>
    <w:p w:rsidR="006A6F95" w:rsidRPr="00936C59" w:rsidRDefault="006A6F95" w:rsidP="006A6F95">
      <w:pPr>
        <w:widowControl w:val="0"/>
        <w:numPr>
          <w:ilvl w:val="0"/>
          <w:numId w:val="1"/>
        </w:numPr>
        <w:tabs>
          <w:tab w:val="left" w:pos="284"/>
        </w:tabs>
        <w:ind w:left="426" w:right="-1" w:hanging="710"/>
        <w:jc w:val="both"/>
        <w:rPr>
          <w:b/>
          <w:bCs/>
        </w:rPr>
      </w:pPr>
      <w:r w:rsidRPr="00936C59">
        <w:rPr>
          <w:b/>
          <w:bCs/>
        </w:rPr>
        <w:t>APPENDICES</w:t>
      </w:r>
    </w:p>
    <w:p w:rsidR="006A6F95" w:rsidRPr="00936C59" w:rsidRDefault="006A6F95" w:rsidP="006A6F95">
      <w:pPr>
        <w:widowControl w:val="0"/>
        <w:tabs>
          <w:tab w:val="left" w:pos="284"/>
        </w:tabs>
        <w:ind w:left="426" w:right="-1" w:hanging="710"/>
        <w:jc w:val="both"/>
        <w:rPr>
          <w:b/>
          <w:bCs/>
        </w:rPr>
      </w:pPr>
    </w:p>
    <w:p w:rsidR="006A6F95" w:rsidRDefault="006A6F95" w:rsidP="006A6F95">
      <w:pPr>
        <w:widowControl w:val="0"/>
        <w:tabs>
          <w:tab w:val="left" w:pos="284"/>
        </w:tabs>
        <w:ind w:left="994" w:right="-1" w:hanging="710"/>
        <w:jc w:val="both"/>
        <w:rPr>
          <w:b/>
          <w:bCs/>
        </w:rPr>
      </w:pPr>
      <w:r>
        <w:rPr>
          <w:b/>
          <w:bCs/>
        </w:rPr>
        <w:t>Appendix A – Oxford Heritage Asset Register Recommendations</w:t>
      </w:r>
    </w:p>
    <w:p w:rsidR="006A6F95" w:rsidRPr="00936C59" w:rsidRDefault="006A6F95" w:rsidP="006A6F95">
      <w:pPr>
        <w:widowControl w:val="0"/>
        <w:tabs>
          <w:tab w:val="left" w:pos="284"/>
        </w:tabs>
        <w:ind w:left="994" w:right="-1" w:hanging="710"/>
        <w:jc w:val="both"/>
        <w:rPr>
          <w:bCs/>
        </w:rPr>
      </w:pPr>
      <w:r>
        <w:rPr>
          <w:b/>
          <w:bCs/>
        </w:rPr>
        <w:t>Appendix B – List of representations received</w:t>
      </w:r>
    </w:p>
    <w:p w:rsidR="006A6F95" w:rsidRPr="00936C59" w:rsidRDefault="006A6F95" w:rsidP="006A6F95">
      <w:pPr>
        <w:widowControl w:val="0"/>
        <w:tabs>
          <w:tab w:val="left" w:pos="284"/>
        </w:tabs>
        <w:ind w:left="994" w:right="-1" w:hanging="710"/>
        <w:jc w:val="both"/>
        <w:rPr>
          <w:bCs/>
        </w:rPr>
      </w:pPr>
    </w:p>
    <w:p w:rsidR="006A6F95" w:rsidRPr="00936C59" w:rsidRDefault="006A6F95" w:rsidP="006A6F95">
      <w:pPr>
        <w:widowControl w:val="0"/>
        <w:tabs>
          <w:tab w:val="left" w:pos="8789"/>
        </w:tabs>
        <w:ind w:left="426" w:right="-1" w:hanging="710"/>
        <w:jc w:val="both"/>
        <w:rPr>
          <w:b/>
          <w:bCs/>
        </w:rPr>
      </w:pPr>
    </w:p>
    <w:p w:rsidR="006A6F95" w:rsidRPr="00936C59" w:rsidRDefault="006A6F95" w:rsidP="006A6F95">
      <w:pPr>
        <w:pStyle w:val="ListParagraph"/>
        <w:autoSpaceDE w:val="0"/>
        <w:autoSpaceDN w:val="0"/>
        <w:spacing w:after="0" w:line="240" w:lineRule="auto"/>
        <w:ind w:left="426"/>
        <w:jc w:val="both"/>
        <w:rPr>
          <w:rFonts w:ascii="Arial" w:hAnsi="Arial" w:cs="Arial"/>
          <w:vanish/>
          <w:sz w:val="24"/>
          <w:szCs w:val="24"/>
        </w:rPr>
      </w:pPr>
    </w:p>
    <w:p w:rsidR="006A6F95" w:rsidRPr="00936C59" w:rsidRDefault="006A6F95" w:rsidP="006A6F95">
      <w:pPr>
        <w:pStyle w:val="ListParagraph"/>
        <w:autoSpaceDE w:val="0"/>
        <w:autoSpaceDN w:val="0"/>
        <w:spacing w:after="0" w:line="240" w:lineRule="auto"/>
        <w:ind w:left="426"/>
        <w:jc w:val="both"/>
        <w:rPr>
          <w:rFonts w:ascii="Arial" w:hAnsi="Arial" w:cs="Arial"/>
          <w:vanish/>
          <w:sz w:val="24"/>
          <w:szCs w:val="24"/>
        </w:rPr>
      </w:pPr>
    </w:p>
    <w:p w:rsidR="006A6F95" w:rsidRDefault="006A6F95" w:rsidP="006A6F95">
      <w:pPr>
        <w:widowControl w:val="0"/>
        <w:numPr>
          <w:ilvl w:val="0"/>
          <w:numId w:val="1"/>
        </w:numPr>
        <w:tabs>
          <w:tab w:val="left" w:pos="284"/>
        </w:tabs>
        <w:ind w:left="426" w:right="-1" w:hanging="710"/>
        <w:jc w:val="both"/>
        <w:rPr>
          <w:b/>
          <w:bCs/>
        </w:rPr>
      </w:pPr>
      <w:r w:rsidRPr="00936C59">
        <w:rPr>
          <w:b/>
          <w:bCs/>
        </w:rPr>
        <w:t>HUMAN RIGHTS ACT 1998</w:t>
      </w:r>
    </w:p>
    <w:p w:rsidR="00E04B60" w:rsidRPr="00936C59" w:rsidRDefault="00E04B60" w:rsidP="00E04B60">
      <w:pPr>
        <w:widowControl w:val="0"/>
        <w:tabs>
          <w:tab w:val="left" w:pos="284"/>
        </w:tabs>
        <w:ind w:left="-284" w:right="-1"/>
        <w:jc w:val="both"/>
        <w:rPr>
          <w:b/>
          <w:bCs/>
        </w:rPr>
      </w:pPr>
    </w:p>
    <w:p w:rsidR="006A6F95" w:rsidRPr="00936C59" w:rsidRDefault="006A6F95" w:rsidP="006A6F95">
      <w:pPr>
        <w:pStyle w:val="ListParagraph"/>
        <w:widowControl w:val="0"/>
        <w:autoSpaceDE w:val="0"/>
        <w:autoSpaceDN w:val="0"/>
        <w:spacing w:after="0" w:line="240" w:lineRule="auto"/>
        <w:ind w:left="426"/>
        <w:jc w:val="both"/>
        <w:rPr>
          <w:rFonts w:ascii="Arial" w:hAnsi="Arial" w:cs="Arial"/>
          <w:vanish/>
          <w:sz w:val="24"/>
          <w:szCs w:val="24"/>
        </w:rPr>
      </w:pPr>
    </w:p>
    <w:p w:rsidR="006A6F95" w:rsidRPr="00936C59" w:rsidRDefault="006A6F95" w:rsidP="006A6F95">
      <w:pPr>
        <w:widowControl w:val="0"/>
        <w:numPr>
          <w:ilvl w:val="1"/>
          <w:numId w:val="1"/>
        </w:numPr>
        <w:ind w:left="426" w:hanging="710"/>
        <w:jc w:val="both"/>
      </w:pPr>
      <w:r w:rsidRPr="00936C59">
        <w:t xml:space="preserve">Officers have considered the implications of the Human Rights Act 1998 in reaching a recommendation to </w:t>
      </w:r>
      <w:r w:rsidR="006E040B">
        <w:t>add these properties to the OHAR</w:t>
      </w:r>
      <w:r w:rsidRPr="00936C59">
        <w:t>.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6A6F95" w:rsidRPr="00936C59" w:rsidRDefault="006A6F95" w:rsidP="006A6F95">
      <w:pPr>
        <w:ind w:left="426" w:hanging="710"/>
        <w:jc w:val="both"/>
      </w:pPr>
    </w:p>
    <w:p w:rsidR="006A6F95" w:rsidRDefault="006A6F95" w:rsidP="006A6F95">
      <w:pPr>
        <w:widowControl w:val="0"/>
        <w:numPr>
          <w:ilvl w:val="0"/>
          <w:numId w:val="1"/>
        </w:numPr>
        <w:tabs>
          <w:tab w:val="left" w:pos="284"/>
        </w:tabs>
        <w:ind w:left="426" w:right="-1" w:hanging="710"/>
        <w:jc w:val="both"/>
        <w:rPr>
          <w:b/>
          <w:bCs/>
        </w:rPr>
      </w:pPr>
      <w:r w:rsidRPr="00936C59">
        <w:rPr>
          <w:b/>
          <w:bCs/>
        </w:rPr>
        <w:t>SECTION 17 OF THE CRIME AND DISORDER ACT 1998</w:t>
      </w:r>
    </w:p>
    <w:p w:rsidR="00E04B60" w:rsidRPr="00936C59" w:rsidRDefault="00E04B60" w:rsidP="00E04B60">
      <w:pPr>
        <w:widowControl w:val="0"/>
        <w:tabs>
          <w:tab w:val="left" w:pos="284"/>
        </w:tabs>
        <w:ind w:left="-284" w:right="-1"/>
        <w:jc w:val="both"/>
        <w:rPr>
          <w:b/>
          <w:bCs/>
        </w:rPr>
      </w:pPr>
      <w:bookmarkStart w:id="0" w:name="_GoBack"/>
      <w:bookmarkEnd w:id="0"/>
    </w:p>
    <w:p w:rsidR="006A6F95" w:rsidRPr="00936C59" w:rsidRDefault="006A6F95" w:rsidP="006A6F95">
      <w:pPr>
        <w:pStyle w:val="ListParagraph"/>
        <w:widowControl w:val="0"/>
        <w:autoSpaceDE w:val="0"/>
        <w:autoSpaceDN w:val="0"/>
        <w:spacing w:after="0" w:line="240" w:lineRule="auto"/>
        <w:ind w:left="0"/>
        <w:jc w:val="both"/>
        <w:rPr>
          <w:rFonts w:ascii="Arial" w:hAnsi="Arial" w:cs="Arial"/>
          <w:vanish/>
          <w:sz w:val="24"/>
          <w:szCs w:val="24"/>
        </w:rPr>
      </w:pPr>
    </w:p>
    <w:p w:rsidR="006A6F95" w:rsidRPr="00936C59" w:rsidRDefault="006A6F95" w:rsidP="006A6F95">
      <w:pPr>
        <w:widowControl w:val="0"/>
        <w:numPr>
          <w:ilvl w:val="1"/>
          <w:numId w:val="1"/>
        </w:numPr>
        <w:ind w:left="426" w:hanging="710"/>
        <w:jc w:val="both"/>
      </w:pPr>
      <w:r w:rsidRPr="00936C59">
        <w:t xml:space="preserve">Officers have considered, with due regard, the likely effect of the proposal on the need to reduce crime and disorder as part of the determination of this </w:t>
      </w:r>
      <w:r w:rsidR="006E040B">
        <w:t>these nominations to add these properties to the OHAR</w:t>
      </w:r>
      <w:r w:rsidRPr="00936C59">
        <w:t xml:space="preserve">, in accordance with section 17 of the Crime and Disorder Act 1998.  In reaching a recommendation to </w:t>
      </w:r>
      <w:r w:rsidR="006E040B">
        <w:t>approve the addition of these nominations to the OHAR</w:t>
      </w:r>
      <w:r w:rsidRPr="00936C59">
        <w:t>, officers consider that the proposal will not undermine crime prevention or the promotion of community.</w:t>
      </w:r>
    </w:p>
    <w:p w:rsidR="006A6F95" w:rsidRPr="00936C59" w:rsidRDefault="006A6F95" w:rsidP="006A6F95"/>
    <w:p w:rsidR="008A22C6" w:rsidRPr="008A22C6" w:rsidRDefault="008A22C6" w:rsidP="008A22C6"/>
    <w:sectPr w:rsidR="008A22C6" w:rsidRPr="008A22C6" w:rsidSect="000E485A">
      <w:footerReference w:type="default" r:id="rId9"/>
      <w:pgSz w:w="11907" w:h="16840" w:code="9"/>
      <w:pgMar w:top="1418" w:right="1418" w:bottom="1418" w:left="1418" w:header="709" w:footer="709" w:gutter="0"/>
      <w:paperSrc w:first="261" w:other="261"/>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CE" w:rsidRDefault="00A17BC6">
      <w:r>
        <w:separator/>
      </w:r>
    </w:p>
  </w:endnote>
  <w:endnote w:type="continuationSeparator" w:id="0">
    <w:p w:rsidR="00CD7BCE" w:rsidRDefault="00A1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43" w:rsidRDefault="006A6F95">
    <w:pPr>
      <w:pStyle w:val="Footer"/>
      <w:jc w:val="right"/>
    </w:pPr>
    <w:r>
      <w:fldChar w:fldCharType="begin"/>
    </w:r>
    <w:r>
      <w:instrText xml:space="preserve"> PAGE   \* MERGEFORMAT </w:instrText>
    </w:r>
    <w:r>
      <w:fldChar w:fldCharType="separate"/>
    </w:r>
    <w:r w:rsidR="00E04B60">
      <w:rPr>
        <w:noProof/>
      </w:rPr>
      <w:t>3</w:t>
    </w:r>
    <w:r>
      <w:fldChar w:fldCharType="end"/>
    </w:r>
  </w:p>
  <w:p w:rsidR="008D7A43" w:rsidRDefault="00E04B6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CE" w:rsidRDefault="00A17BC6">
      <w:r>
        <w:separator/>
      </w:r>
    </w:p>
  </w:footnote>
  <w:footnote w:type="continuationSeparator" w:id="0">
    <w:p w:rsidR="00CD7BCE" w:rsidRDefault="00A17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020C3"/>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95"/>
    <w:rsid w:val="000B4310"/>
    <w:rsid w:val="00303882"/>
    <w:rsid w:val="004000D7"/>
    <w:rsid w:val="00417F31"/>
    <w:rsid w:val="00487068"/>
    <w:rsid w:val="004B1186"/>
    <w:rsid w:val="00504E43"/>
    <w:rsid w:val="006A6F95"/>
    <w:rsid w:val="006E040B"/>
    <w:rsid w:val="007908F4"/>
    <w:rsid w:val="008A22C6"/>
    <w:rsid w:val="00A17BC6"/>
    <w:rsid w:val="00A95311"/>
    <w:rsid w:val="00BF4CCB"/>
    <w:rsid w:val="00C07F80"/>
    <w:rsid w:val="00CD7BCE"/>
    <w:rsid w:val="00D56496"/>
    <w:rsid w:val="00E04B6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95"/>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F95"/>
    <w:pPr>
      <w:tabs>
        <w:tab w:val="center" w:pos="4153"/>
        <w:tab w:val="right" w:pos="8306"/>
      </w:tabs>
    </w:pPr>
  </w:style>
  <w:style w:type="character" w:customStyle="1" w:styleId="HeaderChar">
    <w:name w:val="Header Char"/>
    <w:basedOn w:val="DefaultParagraphFont"/>
    <w:link w:val="Header"/>
    <w:uiPriority w:val="99"/>
    <w:rsid w:val="006A6F95"/>
    <w:rPr>
      <w:rFonts w:eastAsia="Times New Roman"/>
    </w:rPr>
  </w:style>
  <w:style w:type="paragraph" w:styleId="Footer">
    <w:name w:val="footer"/>
    <w:basedOn w:val="Normal"/>
    <w:link w:val="FooterChar"/>
    <w:uiPriority w:val="99"/>
    <w:rsid w:val="006A6F95"/>
    <w:pPr>
      <w:tabs>
        <w:tab w:val="center" w:pos="4153"/>
        <w:tab w:val="right" w:pos="8306"/>
      </w:tabs>
    </w:pPr>
  </w:style>
  <w:style w:type="character" w:customStyle="1" w:styleId="FooterChar">
    <w:name w:val="Footer Char"/>
    <w:basedOn w:val="DefaultParagraphFont"/>
    <w:link w:val="Footer"/>
    <w:uiPriority w:val="99"/>
    <w:rsid w:val="006A6F95"/>
    <w:rPr>
      <w:rFonts w:eastAsia="Times New Roman"/>
    </w:rPr>
  </w:style>
  <w:style w:type="paragraph" w:styleId="BodyText2">
    <w:name w:val="Body Text 2"/>
    <w:basedOn w:val="Normal"/>
    <w:link w:val="BodyText2Char"/>
    <w:uiPriority w:val="99"/>
    <w:rsid w:val="006A6F95"/>
    <w:pPr>
      <w:widowControl w:val="0"/>
      <w:jc w:val="both"/>
    </w:pPr>
  </w:style>
  <w:style w:type="character" w:customStyle="1" w:styleId="BodyText2Char">
    <w:name w:val="Body Text 2 Char"/>
    <w:basedOn w:val="DefaultParagraphFont"/>
    <w:link w:val="BodyText2"/>
    <w:uiPriority w:val="99"/>
    <w:rsid w:val="006A6F95"/>
    <w:rPr>
      <w:rFonts w:eastAsia="Times New Roman"/>
    </w:rPr>
  </w:style>
  <w:style w:type="paragraph" w:styleId="ListParagraph">
    <w:name w:val="List Paragraph"/>
    <w:basedOn w:val="Normal"/>
    <w:uiPriority w:val="34"/>
    <w:qFormat/>
    <w:rsid w:val="006A6F95"/>
    <w:pPr>
      <w:autoSpaceDE/>
      <w:autoSpaceDN/>
      <w:spacing w:after="200" w:line="276" w:lineRule="auto"/>
      <w:ind w:left="720"/>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95"/>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F95"/>
    <w:pPr>
      <w:tabs>
        <w:tab w:val="center" w:pos="4153"/>
        <w:tab w:val="right" w:pos="8306"/>
      </w:tabs>
    </w:pPr>
  </w:style>
  <w:style w:type="character" w:customStyle="1" w:styleId="HeaderChar">
    <w:name w:val="Header Char"/>
    <w:basedOn w:val="DefaultParagraphFont"/>
    <w:link w:val="Header"/>
    <w:uiPriority w:val="99"/>
    <w:rsid w:val="006A6F95"/>
    <w:rPr>
      <w:rFonts w:eastAsia="Times New Roman"/>
    </w:rPr>
  </w:style>
  <w:style w:type="paragraph" w:styleId="Footer">
    <w:name w:val="footer"/>
    <w:basedOn w:val="Normal"/>
    <w:link w:val="FooterChar"/>
    <w:uiPriority w:val="99"/>
    <w:rsid w:val="006A6F95"/>
    <w:pPr>
      <w:tabs>
        <w:tab w:val="center" w:pos="4153"/>
        <w:tab w:val="right" w:pos="8306"/>
      </w:tabs>
    </w:pPr>
  </w:style>
  <w:style w:type="character" w:customStyle="1" w:styleId="FooterChar">
    <w:name w:val="Footer Char"/>
    <w:basedOn w:val="DefaultParagraphFont"/>
    <w:link w:val="Footer"/>
    <w:uiPriority w:val="99"/>
    <w:rsid w:val="006A6F95"/>
    <w:rPr>
      <w:rFonts w:eastAsia="Times New Roman"/>
    </w:rPr>
  </w:style>
  <w:style w:type="paragraph" w:styleId="BodyText2">
    <w:name w:val="Body Text 2"/>
    <w:basedOn w:val="Normal"/>
    <w:link w:val="BodyText2Char"/>
    <w:uiPriority w:val="99"/>
    <w:rsid w:val="006A6F95"/>
    <w:pPr>
      <w:widowControl w:val="0"/>
      <w:jc w:val="both"/>
    </w:pPr>
  </w:style>
  <w:style w:type="character" w:customStyle="1" w:styleId="BodyText2Char">
    <w:name w:val="Body Text 2 Char"/>
    <w:basedOn w:val="DefaultParagraphFont"/>
    <w:link w:val="BodyText2"/>
    <w:uiPriority w:val="99"/>
    <w:rsid w:val="006A6F95"/>
    <w:rPr>
      <w:rFonts w:eastAsia="Times New Roman"/>
    </w:rPr>
  </w:style>
  <w:style w:type="paragraph" w:styleId="ListParagraph">
    <w:name w:val="List Paragraph"/>
    <w:basedOn w:val="Normal"/>
    <w:uiPriority w:val="34"/>
    <w:qFormat/>
    <w:rsid w:val="006A6F95"/>
    <w:pPr>
      <w:autoSpaceDE/>
      <w:autoSpaceDN/>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E7DD2-B322-41B7-8451-800F0BD9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E2D6AB2B</Template>
  <TotalTime>7</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cgolden</dc:creator>
  <cp:lastModifiedBy>cphythian</cp:lastModifiedBy>
  <cp:revision>4</cp:revision>
  <dcterms:created xsi:type="dcterms:W3CDTF">2018-07-02T11:50:00Z</dcterms:created>
  <dcterms:modified xsi:type="dcterms:W3CDTF">2018-07-02T11:57:00Z</dcterms:modified>
</cp:coreProperties>
</file>